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37" w:rsidRPr="00D4116F" w:rsidRDefault="00FD3637" w:rsidP="00971FED">
      <w:pPr>
        <w:widowControl w:val="0"/>
        <w:autoSpaceDE w:val="0"/>
        <w:autoSpaceDN w:val="0"/>
        <w:adjustRightInd w:val="0"/>
        <w:jc w:val="center"/>
        <w:rPr>
          <w:b/>
          <w:bCs/>
          <w:sz w:val="22"/>
          <w:szCs w:val="32"/>
          <w:lang w:val="en-US"/>
        </w:rPr>
      </w:pPr>
      <w:r w:rsidRPr="00D4116F">
        <w:rPr>
          <w:b/>
          <w:bCs/>
          <w:sz w:val="22"/>
          <w:szCs w:val="32"/>
          <w:lang w:val="en-US"/>
        </w:rPr>
        <w:t>North East India Studies Programme</w:t>
      </w:r>
    </w:p>
    <w:p w:rsidR="00FD3637" w:rsidRDefault="00FD3637" w:rsidP="00971FED">
      <w:pPr>
        <w:widowControl w:val="0"/>
        <w:autoSpaceDE w:val="0"/>
        <w:autoSpaceDN w:val="0"/>
        <w:adjustRightInd w:val="0"/>
        <w:jc w:val="center"/>
        <w:rPr>
          <w:b/>
          <w:bCs/>
          <w:sz w:val="22"/>
          <w:szCs w:val="32"/>
          <w:lang w:val="en-US"/>
        </w:rPr>
      </w:pPr>
      <w:r w:rsidRPr="00D4116F">
        <w:rPr>
          <w:b/>
          <w:bCs/>
          <w:sz w:val="22"/>
          <w:szCs w:val="32"/>
          <w:lang w:val="en-US"/>
        </w:rPr>
        <w:t xml:space="preserve">Jawaharlal Nehru University </w:t>
      </w:r>
    </w:p>
    <w:p w:rsidR="00FD3637" w:rsidRPr="00D4116F" w:rsidRDefault="00FD3637" w:rsidP="00971FED">
      <w:pPr>
        <w:widowControl w:val="0"/>
        <w:autoSpaceDE w:val="0"/>
        <w:autoSpaceDN w:val="0"/>
        <w:adjustRightInd w:val="0"/>
        <w:jc w:val="center"/>
        <w:rPr>
          <w:b/>
          <w:bCs/>
          <w:sz w:val="22"/>
          <w:szCs w:val="32"/>
          <w:lang w:val="en-US"/>
        </w:rPr>
      </w:pPr>
      <w:r>
        <w:rPr>
          <w:b/>
          <w:bCs/>
          <w:sz w:val="22"/>
          <w:szCs w:val="32"/>
          <w:lang w:val="en-US"/>
        </w:rPr>
        <w:t>New Delhi, India</w:t>
      </w:r>
    </w:p>
    <w:p w:rsidR="00FD3637" w:rsidRDefault="00FD3637" w:rsidP="00971FED">
      <w:pPr>
        <w:widowControl w:val="0"/>
        <w:autoSpaceDE w:val="0"/>
        <w:autoSpaceDN w:val="0"/>
        <w:adjustRightInd w:val="0"/>
        <w:jc w:val="center"/>
        <w:rPr>
          <w:b/>
          <w:bCs/>
          <w:szCs w:val="32"/>
          <w:lang w:val="en-US"/>
        </w:rPr>
      </w:pPr>
    </w:p>
    <w:p w:rsidR="00FD3637" w:rsidRDefault="00FD3637" w:rsidP="00971FED">
      <w:pPr>
        <w:widowControl w:val="0"/>
        <w:autoSpaceDE w:val="0"/>
        <w:autoSpaceDN w:val="0"/>
        <w:adjustRightInd w:val="0"/>
        <w:jc w:val="center"/>
        <w:rPr>
          <w:b/>
          <w:bCs/>
          <w:szCs w:val="32"/>
          <w:lang w:val="en-US"/>
        </w:rPr>
      </w:pPr>
    </w:p>
    <w:p w:rsidR="00FD3637" w:rsidRDefault="00FD3637" w:rsidP="00971FED">
      <w:pPr>
        <w:widowControl w:val="0"/>
        <w:autoSpaceDE w:val="0"/>
        <w:autoSpaceDN w:val="0"/>
        <w:adjustRightInd w:val="0"/>
        <w:jc w:val="center"/>
        <w:rPr>
          <w:b/>
          <w:bCs/>
          <w:szCs w:val="32"/>
          <w:lang w:val="en-US"/>
        </w:rPr>
      </w:pPr>
      <w:r>
        <w:rPr>
          <w:b/>
          <w:bCs/>
          <w:szCs w:val="32"/>
          <w:lang w:val="en-US"/>
        </w:rPr>
        <w:t xml:space="preserve">National </w:t>
      </w:r>
      <w:r w:rsidRPr="00EF7C20">
        <w:rPr>
          <w:b/>
          <w:bCs/>
          <w:szCs w:val="32"/>
          <w:lang w:val="en-US"/>
        </w:rPr>
        <w:t>Conference on</w:t>
      </w:r>
    </w:p>
    <w:p w:rsidR="00FD3637" w:rsidRDefault="00FD3637" w:rsidP="00971FED">
      <w:pPr>
        <w:widowControl w:val="0"/>
        <w:autoSpaceDE w:val="0"/>
        <w:autoSpaceDN w:val="0"/>
        <w:adjustRightInd w:val="0"/>
        <w:jc w:val="center"/>
        <w:rPr>
          <w:b/>
          <w:bCs/>
          <w:szCs w:val="32"/>
          <w:lang w:val="en-US"/>
        </w:rPr>
      </w:pPr>
    </w:p>
    <w:p w:rsidR="00FD3637" w:rsidRPr="00EF7C20" w:rsidRDefault="00FD3637" w:rsidP="00971FED">
      <w:pPr>
        <w:widowControl w:val="0"/>
        <w:autoSpaceDE w:val="0"/>
        <w:autoSpaceDN w:val="0"/>
        <w:adjustRightInd w:val="0"/>
        <w:jc w:val="center"/>
        <w:rPr>
          <w:rFonts w:ascii="Times" w:hAnsi="Times" w:cs="Times"/>
          <w:i/>
          <w:sz w:val="28"/>
          <w:szCs w:val="32"/>
          <w:lang w:val="en-US"/>
        </w:rPr>
      </w:pPr>
      <w:r>
        <w:rPr>
          <w:b/>
          <w:bCs/>
          <w:i/>
          <w:sz w:val="28"/>
          <w:szCs w:val="32"/>
          <w:lang w:val="en-US"/>
        </w:rPr>
        <w:t>Understanding North East India: ‘Exception’</w:t>
      </w:r>
      <w:r w:rsidRPr="00EF7C20">
        <w:rPr>
          <w:b/>
          <w:bCs/>
          <w:i/>
          <w:sz w:val="28"/>
          <w:szCs w:val="32"/>
          <w:lang w:val="en-US"/>
        </w:rPr>
        <w:t xml:space="preserve"> and Beyond</w:t>
      </w:r>
    </w:p>
    <w:p w:rsidR="00FD3637" w:rsidRDefault="00FD3637" w:rsidP="00EE2154">
      <w:pPr>
        <w:widowControl w:val="0"/>
        <w:autoSpaceDE w:val="0"/>
        <w:autoSpaceDN w:val="0"/>
        <w:adjustRightInd w:val="0"/>
        <w:jc w:val="center"/>
        <w:rPr>
          <w:b/>
          <w:bCs/>
          <w:szCs w:val="32"/>
          <w:lang w:val="en-US"/>
        </w:rPr>
      </w:pPr>
      <w:r w:rsidRPr="00EF7C20">
        <w:rPr>
          <w:rFonts w:ascii="Times" w:hAnsi="Times" w:cs="Times"/>
          <w:szCs w:val="32"/>
          <w:lang w:val="en-US"/>
        </w:rPr>
        <w:t> </w:t>
      </w:r>
    </w:p>
    <w:p w:rsidR="00FD3637" w:rsidRDefault="00FD3637" w:rsidP="00971FED">
      <w:pPr>
        <w:widowControl w:val="0"/>
        <w:autoSpaceDE w:val="0"/>
        <w:autoSpaceDN w:val="0"/>
        <w:adjustRightInd w:val="0"/>
        <w:jc w:val="both"/>
        <w:rPr>
          <w:b/>
          <w:bCs/>
          <w:szCs w:val="32"/>
          <w:lang w:val="en-US"/>
        </w:rPr>
      </w:pPr>
    </w:p>
    <w:p w:rsidR="00FD3637" w:rsidRDefault="00FD3637" w:rsidP="00971FED">
      <w:pPr>
        <w:widowControl w:val="0"/>
        <w:autoSpaceDE w:val="0"/>
        <w:autoSpaceDN w:val="0"/>
        <w:adjustRightInd w:val="0"/>
        <w:jc w:val="both"/>
        <w:rPr>
          <w:bCs/>
          <w:szCs w:val="32"/>
          <w:lang w:val="en-US"/>
        </w:rPr>
      </w:pPr>
      <w:r w:rsidRPr="00EF7C20">
        <w:rPr>
          <w:bCs/>
          <w:szCs w:val="32"/>
          <w:lang w:val="en-US"/>
        </w:rPr>
        <w:t>Understanding</w:t>
      </w:r>
      <w:r>
        <w:rPr>
          <w:bCs/>
          <w:szCs w:val="32"/>
          <w:lang w:val="en-US"/>
        </w:rPr>
        <w:t xml:space="preserve"> North East India has always been a daunting task for many – ranging from the colonial ethnographers to the administrators and the military, and still for the contemporary academics. Even today, there are books coming out on the region inadvertently objectifying the geography and population of the northeastern states irrespective of the focus of the book. This reflects the presumption of either how ill informed the readers are (or imagined), and also the vantage point through which the understanding (teaching and knowing) about North East is still being shaped. This trend of knowing, and making known, of the region is the result of a particular mindset through which the region is being conceived. </w:t>
      </w:r>
    </w:p>
    <w:p w:rsidR="00FD3637" w:rsidRDefault="00FD3637" w:rsidP="00971FED">
      <w:pPr>
        <w:widowControl w:val="0"/>
        <w:autoSpaceDE w:val="0"/>
        <w:autoSpaceDN w:val="0"/>
        <w:adjustRightInd w:val="0"/>
        <w:jc w:val="both"/>
        <w:rPr>
          <w:bCs/>
          <w:szCs w:val="32"/>
          <w:lang w:val="en-US"/>
        </w:rPr>
      </w:pPr>
    </w:p>
    <w:p w:rsidR="00FD3637" w:rsidRPr="00BC34EF" w:rsidRDefault="00FD3637" w:rsidP="00971FED">
      <w:pPr>
        <w:widowControl w:val="0"/>
        <w:autoSpaceDE w:val="0"/>
        <w:autoSpaceDN w:val="0"/>
        <w:adjustRightInd w:val="0"/>
        <w:ind w:firstLine="578"/>
        <w:jc w:val="both"/>
        <w:rPr>
          <w:bCs/>
          <w:szCs w:val="32"/>
          <w:lang w:val="en-US"/>
        </w:rPr>
      </w:pPr>
      <w:r>
        <w:rPr>
          <w:bCs/>
          <w:szCs w:val="32"/>
          <w:lang w:val="en-US"/>
        </w:rPr>
        <w:t xml:space="preserve">Methodologically the above trend is shaped by an ideology that treats the region as an ‘exception’. Immediate question that arises is – ‘exception to what?’ North East India is seen </w:t>
      </w:r>
      <w:r w:rsidRPr="00725793">
        <w:rPr>
          <w:bCs/>
          <w:i/>
          <w:szCs w:val="32"/>
          <w:lang w:val="en-US"/>
        </w:rPr>
        <w:t>as an exception</w:t>
      </w:r>
      <w:r>
        <w:rPr>
          <w:bCs/>
          <w:szCs w:val="32"/>
          <w:lang w:val="en-US"/>
        </w:rPr>
        <w:t xml:space="preserve"> to a trend that</w:t>
      </w:r>
      <w:r w:rsidRPr="00725793">
        <w:rPr>
          <w:bCs/>
          <w:i/>
          <w:szCs w:val="32"/>
          <w:lang w:val="en-US"/>
        </w:rPr>
        <w:t xml:space="preserve"> India is</w:t>
      </w:r>
      <w:r>
        <w:rPr>
          <w:bCs/>
          <w:szCs w:val="32"/>
          <w:lang w:val="en-US"/>
        </w:rPr>
        <w:t>. While the country is known for its plural characters – specificities of culture, religion, and language; these specificities in general are not treated as exception. India is projected as ‘unity in diversity’. However, the specificities of the North East are treated as an exception. This seems to be largely because the region is seen as ‘incomprehensible’ and ‘ungovernable’ that it remains an exception to the very idea and existence of India as a nation state. This is closely comparable to Zizak’s reading of Marx’s Asiatic mode of production as a ‘safety valve’ wherein by accepting the uniqueness of economic mode of production of India and elsewhere in the colonized world of Asia, Marxism as a grand theoretical narrative retains its logical arguments and legitimacy. Drawing from this analogy, treating North East India as an</w:t>
      </w:r>
      <w:r w:rsidRPr="00BC34EF">
        <w:rPr>
          <w:bCs/>
          <w:szCs w:val="32"/>
          <w:lang w:val="en-US"/>
        </w:rPr>
        <w:t xml:space="preserve"> exception seems to serve the legitimacy of the position of India as a nation state – by excluding, yet including. Understanding the region seems to work through this paradox.</w:t>
      </w:r>
    </w:p>
    <w:p w:rsidR="00FD3637" w:rsidRPr="00BC34EF" w:rsidRDefault="00FD3637" w:rsidP="00971FED">
      <w:pPr>
        <w:widowControl w:val="0"/>
        <w:autoSpaceDE w:val="0"/>
        <w:autoSpaceDN w:val="0"/>
        <w:adjustRightInd w:val="0"/>
        <w:ind w:firstLine="578"/>
        <w:jc w:val="both"/>
        <w:rPr>
          <w:bCs/>
          <w:szCs w:val="32"/>
          <w:lang w:val="en-US"/>
        </w:rPr>
      </w:pPr>
    </w:p>
    <w:p w:rsidR="00FD3637" w:rsidRPr="00BC34EF" w:rsidRDefault="00FD3637" w:rsidP="00971FED">
      <w:pPr>
        <w:widowControl w:val="0"/>
        <w:autoSpaceDE w:val="0"/>
        <w:autoSpaceDN w:val="0"/>
        <w:adjustRightInd w:val="0"/>
        <w:ind w:firstLine="578"/>
        <w:jc w:val="both"/>
        <w:rPr>
          <w:bCs/>
          <w:szCs w:val="32"/>
          <w:lang w:val="en-US"/>
        </w:rPr>
      </w:pPr>
      <w:r w:rsidRPr="00BC34EF">
        <w:rPr>
          <w:bCs/>
          <w:szCs w:val="32"/>
          <w:lang w:val="en-US"/>
        </w:rPr>
        <w:t>This way of looking at the region is highly problematic. Without endorsing or discarding the idea of the region as</w:t>
      </w:r>
      <w:r>
        <w:rPr>
          <w:bCs/>
          <w:szCs w:val="32"/>
          <w:lang w:val="en-US"/>
        </w:rPr>
        <w:t xml:space="preserve"> ‘</w:t>
      </w:r>
      <w:r w:rsidRPr="00BC34EF">
        <w:rPr>
          <w:bCs/>
          <w:szCs w:val="32"/>
          <w:lang w:val="en-US"/>
        </w:rPr>
        <w:t>exception,</w:t>
      </w:r>
      <w:r>
        <w:rPr>
          <w:bCs/>
          <w:szCs w:val="32"/>
          <w:lang w:val="en-US"/>
        </w:rPr>
        <w:t>’</w:t>
      </w:r>
      <w:r w:rsidRPr="00BC34EF">
        <w:rPr>
          <w:bCs/>
          <w:szCs w:val="32"/>
          <w:lang w:val="en-US"/>
        </w:rPr>
        <w:t xml:space="preserve"> the seminar proposes to unravel this concept. Efforts will also be taken if we can move beyond the discourse of exception. </w:t>
      </w:r>
    </w:p>
    <w:p w:rsidR="00FD3637" w:rsidRPr="00BC34EF" w:rsidRDefault="00FD3637" w:rsidP="00971FED">
      <w:pPr>
        <w:widowControl w:val="0"/>
        <w:autoSpaceDE w:val="0"/>
        <w:autoSpaceDN w:val="0"/>
        <w:adjustRightInd w:val="0"/>
        <w:ind w:firstLine="578"/>
        <w:jc w:val="both"/>
        <w:rPr>
          <w:bCs/>
          <w:szCs w:val="32"/>
          <w:lang w:val="en-US"/>
        </w:rPr>
      </w:pPr>
    </w:p>
    <w:p w:rsidR="00FD3637" w:rsidRPr="00BC34EF" w:rsidRDefault="00FD3637" w:rsidP="00971FED">
      <w:pPr>
        <w:widowControl w:val="0"/>
        <w:autoSpaceDE w:val="0"/>
        <w:autoSpaceDN w:val="0"/>
        <w:adjustRightInd w:val="0"/>
        <w:ind w:firstLine="578"/>
        <w:jc w:val="both"/>
        <w:rPr>
          <w:bCs/>
          <w:szCs w:val="32"/>
          <w:lang w:val="en-US"/>
        </w:rPr>
      </w:pPr>
      <w:r w:rsidRPr="00BC34EF">
        <w:rPr>
          <w:bCs/>
          <w:szCs w:val="32"/>
          <w:lang w:val="en-US"/>
        </w:rPr>
        <w:t xml:space="preserve">The idea of </w:t>
      </w:r>
      <w:r>
        <w:rPr>
          <w:bCs/>
          <w:szCs w:val="32"/>
          <w:lang w:val="en-US"/>
        </w:rPr>
        <w:t>‘</w:t>
      </w:r>
      <w:r w:rsidRPr="00BC34EF">
        <w:rPr>
          <w:bCs/>
          <w:szCs w:val="32"/>
          <w:lang w:val="en-US"/>
        </w:rPr>
        <w:t>exception</w:t>
      </w:r>
      <w:r>
        <w:rPr>
          <w:bCs/>
          <w:szCs w:val="32"/>
          <w:lang w:val="en-US"/>
        </w:rPr>
        <w:t>’</w:t>
      </w:r>
      <w:r w:rsidRPr="00BC34EF">
        <w:rPr>
          <w:bCs/>
          <w:szCs w:val="32"/>
          <w:lang w:val="en-US"/>
        </w:rPr>
        <w:t xml:space="preserve"> is played out through a two-way approach; firstly,</w:t>
      </w:r>
      <w:r>
        <w:rPr>
          <w:bCs/>
          <w:szCs w:val="32"/>
          <w:lang w:val="en-US"/>
        </w:rPr>
        <w:t xml:space="preserve"> through</w:t>
      </w:r>
      <w:r w:rsidRPr="00BC34EF">
        <w:rPr>
          <w:bCs/>
          <w:szCs w:val="32"/>
          <w:lang w:val="en-US"/>
        </w:rPr>
        <w:t xml:space="preserve"> our epistemic understanding of t</w:t>
      </w:r>
      <w:r>
        <w:rPr>
          <w:bCs/>
          <w:szCs w:val="32"/>
          <w:lang w:val="en-US"/>
        </w:rPr>
        <w:t xml:space="preserve">he region, and secondly, through </w:t>
      </w:r>
      <w:r w:rsidRPr="00BC34EF">
        <w:rPr>
          <w:bCs/>
          <w:szCs w:val="32"/>
          <w:lang w:val="en-US"/>
        </w:rPr>
        <w:t>state interventions that are being initiated on the region and its people. These approaches though closely connected can b</w:t>
      </w:r>
      <w:r>
        <w:rPr>
          <w:bCs/>
          <w:szCs w:val="32"/>
          <w:lang w:val="en-US"/>
        </w:rPr>
        <w:t>e witnessed in different fields –</w:t>
      </w:r>
      <w:r w:rsidRPr="00BC34EF">
        <w:rPr>
          <w:bCs/>
          <w:szCs w:val="32"/>
          <w:lang w:val="en-US"/>
        </w:rPr>
        <w:t xml:space="preserve"> in history writing, anthropological reading of the communities, geographical mapping of the region, </w:t>
      </w:r>
      <w:r>
        <w:rPr>
          <w:bCs/>
          <w:szCs w:val="32"/>
          <w:lang w:val="en-US"/>
        </w:rPr>
        <w:t xml:space="preserve">and </w:t>
      </w:r>
      <w:r w:rsidRPr="00BC34EF">
        <w:rPr>
          <w:bCs/>
          <w:szCs w:val="32"/>
          <w:lang w:val="en-US"/>
        </w:rPr>
        <w:t xml:space="preserve">even in state interventions on empowerment and development.  </w:t>
      </w:r>
    </w:p>
    <w:p w:rsidR="00FD3637" w:rsidRPr="00BC34EF" w:rsidRDefault="00FD3637" w:rsidP="00971FED">
      <w:pPr>
        <w:widowControl w:val="0"/>
        <w:autoSpaceDE w:val="0"/>
        <w:autoSpaceDN w:val="0"/>
        <w:adjustRightInd w:val="0"/>
        <w:ind w:firstLine="578"/>
        <w:jc w:val="both"/>
        <w:rPr>
          <w:bCs/>
          <w:szCs w:val="32"/>
          <w:lang w:val="en-US"/>
        </w:rPr>
      </w:pPr>
    </w:p>
    <w:p w:rsidR="00FD3637" w:rsidRDefault="00FD3637" w:rsidP="00971FED">
      <w:pPr>
        <w:widowControl w:val="0"/>
        <w:autoSpaceDE w:val="0"/>
        <w:autoSpaceDN w:val="0"/>
        <w:adjustRightInd w:val="0"/>
        <w:ind w:firstLine="578"/>
        <w:jc w:val="both"/>
        <w:rPr>
          <w:szCs w:val="32"/>
          <w:lang w:val="en-US"/>
        </w:rPr>
      </w:pPr>
      <w:r>
        <w:rPr>
          <w:szCs w:val="32"/>
          <w:lang w:val="en-US"/>
        </w:rPr>
        <w:t xml:space="preserve">The above point can be illustrated through the following. </w:t>
      </w:r>
      <w:r w:rsidRPr="00BC34EF">
        <w:rPr>
          <w:szCs w:val="32"/>
          <w:lang w:val="en-US"/>
        </w:rPr>
        <w:t>Geographically, except for the 28 kms. Wide</w:t>
      </w:r>
      <w:r>
        <w:rPr>
          <w:szCs w:val="32"/>
          <w:lang w:val="en-US"/>
        </w:rPr>
        <w:t xml:space="preserve"> </w:t>
      </w:r>
      <w:r w:rsidRPr="00BC34EF">
        <w:rPr>
          <w:szCs w:val="32"/>
          <w:lang w:val="en-US"/>
        </w:rPr>
        <w:t xml:space="preserve">Siliguri corridor better known as </w:t>
      </w:r>
      <w:r>
        <w:rPr>
          <w:szCs w:val="32"/>
          <w:lang w:val="en-US"/>
        </w:rPr>
        <w:t>‘</w:t>
      </w:r>
      <w:r w:rsidRPr="00BC34EF">
        <w:rPr>
          <w:szCs w:val="32"/>
          <w:lang w:val="en-US"/>
        </w:rPr>
        <w:t>chicken neck,</w:t>
      </w:r>
      <w:r>
        <w:rPr>
          <w:szCs w:val="32"/>
          <w:lang w:val="en-US"/>
        </w:rPr>
        <w:t>’</w:t>
      </w:r>
      <w:r w:rsidRPr="00BC34EF">
        <w:rPr>
          <w:szCs w:val="32"/>
          <w:lang w:val="en-US"/>
        </w:rPr>
        <w:t xml:space="preserve"> rest of the boundary of the region face international border with five countries. Historically, exceptionality can be traced in the writings of colonial ethnographers like Sir Edward Gait for whom lack of reference point makes Assam, and its rulers Ahoms, an exception</w:t>
      </w:r>
      <w:r>
        <w:rPr>
          <w:szCs w:val="32"/>
          <w:lang w:val="en-US"/>
        </w:rPr>
        <w:t xml:space="preserve"> to the mainstream historiography on India</w:t>
      </w:r>
      <w:r w:rsidRPr="00BC34EF">
        <w:rPr>
          <w:szCs w:val="32"/>
          <w:lang w:val="en-US"/>
        </w:rPr>
        <w:t>. While such a reading</w:t>
      </w:r>
      <w:r>
        <w:rPr>
          <w:szCs w:val="32"/>
          <w:lang w:val="en-US"/>
        </w:rPr>
        <w:t xml:space="preserve"> may be purely about methodological considerations</w:t>
      </w:r>
      <w:r w:rsidRPr="00BC34EF">
        <w:rPr>
          <w:szCs w:val="32"/>
          <w:lang w:val="en-US"/>
        </w:rPr>
        <w:t>, there are other ep</w:t>
      </w:r>
      <w:r>
        <w:rPr>
          <w:szCs w:val="32"/>
          <w:lang w:val="en-US"/>
        </w:rPr>
        <w:t>istemic understandings that show</w:t>
      </w:r>
      <w:r w:rsidRPr="00BC34EF">
        <w:rPr>
          <w:szCs w:val="32"/>
          <w:lang w:val="en-US"/>
        </w:rPr>
        <w:t xml:space="preserve"> the region as </w:t>
      </w:r>
      <w:r>
        <w:rPr>
          <w:szCs w:val="32"/>
          <w:lang w:val="en-US"/>
        </w:rPr>
        <w:t>‘</w:t>
      </w:r>
      <w:r w:rsidRPr="00BC34EF">
        <w:rPr>
          <w:szCs w:val="32"/>
          <w:lang w:val="en-US"/>
        </w:rPr>
        <w:t>exception</w:t>
      </w:r>
      <w:r>
        <w:rPr>
          <w:szCs w:val="32"/>
          <w:lang w:val="en-US"/>
        </w:rPr>
        <w:t>’</w:t>
      </w:r>
      <w:r w:rsidRPr="00BC34EF">
        <w:rPr>
          <w:szCs w:val="32"/>
          <w:lang w:val="en-US"/>
        </w:rPr>
        <w:t xml:space="preserve"> with negative connotation. Tracing from colonial time to the free India, mention can be made of Christoph von Fürer-Haimendorf’s</w:t>
      </w:r>
      <w:r>
        <w:rPr>
          <w:szCs w:val="32"/>
          <w:lang w:val="en-US"/>
        </w:rPr>
        <w:t>‘</w:t>
      </w:r>
      <w:r w:rsidRPr="00BC34EF">
        <w:rPr>
          <w:szCs w:val="32"/>
          <w:lang w:val="en-US"/>
        </w:rPr>
        <w:t>naked Nagas,</w:t>
      </w:r>
      <w:r>
        <w:rPr>
          <w:szCs w:val="32"/>
          <w:lang w:val="en-US"/>
        </w:rPr>
        <w:t>’</w:t>
      </w:r>
      <w:r w:rsidRPr="00BC34EF">
        <w:rPr>
          <w:szCs w:val="32"/>
          <w:lang w:val="en-US"/>
        </w:rPr>
        <w:t xml:space="preserve"> H. Onderson</w:t>
      </w:r>
      <w:r>
        <w:rPr>
          <w:szCs w:val="32"/>
          <w:lang w:val="en-US"/>
        </w:rPr>
        <w:t xml:space="preserve"> </w:t>
      </w:r>
      <w:r w:rsidRPr="00BC34EF">
        <w:rPr>
          <w:szCs w:val="32"/>
          <w:lang w:val="en-US"/>
        </w:rPr>
        <w:t xml:space="preserve">Mawrie’s describing </w:t>
      </w:r>
      <w:r>
        <w:rPr>
          <w:szCs w:val="32"/>
          <w:lang w:val="en-US"/>
        </w:rPr>
        <w:t xml:space="preserve">the </w:t>
      </w:r>
      <w:r w:rsidRPr="00BC34EF">
        <w:rPr>
          <w:szCs w:val="32"/>
          <w:lang w:val="en-US"/>
        </w:rPr>
        <w:t xml:space="preserve">Khasis as </w:t>
      </w:r>
      <w:r>
        <w:rPr>
          <w:szCs w:val="32"/>
          <w:lang w:val="en-US"/>
        </w:rPr>
        <w:t>‘</w:t>
      </w:r>
      <w:r w:rsidRPr="00BC34EF">
        <w:rPr>
          <w:szCs w:val="32"/>
          <w:lang w:val="en-US"/>
        </w:rPr>
        <w:t>promiscuous hordes,</w:t>
      </w:r>
      <w:r>
        <w:rPr>
          <w:szCs w:val="32"/>
          <w:lang w:val="en-US"/>
        </w:rPr>
        <w:t>’</w:t>
      </w:r>
      <w:r w:rsidRPr="00BC34EF">
        <w:rPr>
          <w:szCs w:val="32"/>
          <w:lang w:val="en-US"/>
        </w:rPr>
        <w:t xml:space="preserve">Ballabbhai Patel’s doubt about Manipuri King Bodh Chandra Singh as either </w:t>
      </w:r>
      <w:r>
        <w:rPr>
          <w:szCs w:val="32"/>
          <w:lang w:val="en-US"/>
        </w:rPr>
        <w:t>‘</w:t>
      </w:r>
      <w:r w:rsidRPr="00BC34EF">
        <w:rPr>
          <w:szCs w:val="32"/>
          <w:lang w:val="en-US"/>
        </w:rPr>
        <w:t>a fool or a knave,</w:t>
      </w:r>
      <w:r>
        <w:rPr>
          <w:szCs w:val="32"/>
          <w:lang w:val="en-US"/>
        </w:rPr>
        <w:t>’</w:t>
      </w:r>
      <w:r w:rsidRPr="00BC34EF">
        <w:rPr>
          <w:szCs w:val="32"/>
          <w:lang w:val="en-US"/>
        </w:rPr>
        <w:t xml:space="preserve"> post-1950s media representation of the Naga fighters as </w:t>
      </w:r>
      <w:r>
        <w:rPr>
          <w:szCs w:val="32"/>
          <w:lang w:val="en-US"/>
        </w:rPr>
        <w:t>‘</w:t>
      </w:r>
      <w:r w:rsidRPr="00BC34EF">
        <w:rPr>
          <w:szCs w:val="32"/>
          <w:lang w:val="en-US"/>
        </w:rPr>
        <w:t>Naga hostile</w:t>
      </w:r>
      <w:r>
        <w:rPr>
          <w:szCs w:val="32"/>
          <w:lang w:val="en-US"/>
        </w:rPr>
        <w:t>’.</w:t>
      </w:r>
      <w:r w:rsidRPr="00BC34EF">
        <w:rPr>
          <w:szCs w:val="32"/>
          <w:lang w:val="en-US"/>
        </w:rPr>
        <w:t xml:space="preserve"> The list is long and each of these comes out of an inability to comprehend the truth</w:t>
      </w:r>
      <w:r>
        <w:rPr>
          <w:szCs w:val="32"/>
          <w:lang w:val="en-US"/>
        </w:rPr>
        <w:t xml:space="preserve"> about an ‘other’.</w:t>
      </w:r>
      <w:r w:rsidRPr="00BC34EF">
        <w:rPr>
          <w:szCs w:val="32"/>
          <w:lang w:val="en-US"/>
        </w:rPr>
        <w:t xml:space="preserve"> Administratively, parliamentary enactment of 6</w:t>
      </w:r>
      <w:r w:rsidRPr="00BC34EF">
        <w:rPr>
          <w:szCs w:val="26"/>
          <w:vertAlign w:val="superscript"/>
          <w:lang w:val="en-US"/>
        </w:rPr>
        <w:t>th</w:t>
      </w:r>
      <w:r w:rsidRPr="00BC34EF">
        <w:rPr>
          <w:szCs w:val="32"/>
          <w:lang w:val="en-US"/>
        </w:rPr>
        <w:t xml:space="preserve"> Schedule of Indian constitution, the Inner Line Permit, and continued application of the Armed Forces Special Powers Act (AFSPA) 1958 show</w:t>
      </w:r>
      <w:r>
        <w:rPr>
          <w:szCs w:val="32"/>
          <w:lang w:val="en-US"/>
        </w:rPr>
        <w:t xml:space="preserve"> how</w:t>
      </w:r>
      <w:r w:rsidRPr="00BC34EF">
        <w:rPr>
          <w:szCs w:val="32"/>
          <w:lang w:val="en-US"/>
        </w:rPr>
        <w:t xml:space="preserve"> the region</w:t>
      </w:r>
      <w:r>
        <w:rPr>
          <w:szCs w:val="32"/>
          <w:lang w:val="en-US"/>
        </w:rPr>
        <w:t xml:space="preserve"> is engaged</w:t>
      </w:r>
      <w:r w:rsidRPr="00BC34EF">
        <w:rPr>
          <w:szCs w:val="32"/>
          <w:lang w:val="en-US"/>
        </w:rPr>
        <w:t xml:space="preserve"> as an exception. </w:t>
      </w:r>
    </w:p>
    <w:p w:rsidR="00FD3637" w:rsidRDefault="00FD3637" w:rsidP="00F80693">
      <w:pPr>
        <w:widowControl w:val="0"/>
        <w:autoSpaceDE w:val="0"/>
        <w:autoSpaceDN w:val="0"/>
        <w:adjustRightInd w:val="0"/>
        <w:jc w:val="both"/>
        <w:rPr>
          <w:szCs w:val="32"/>
          <w:lang w:val="en-US"/>
        </w:rPr>
      </w:pPr>
    </w:p>
    <w:p w:rsidR="00FD3637" w:rsidRDefault="00FD3637" w:rsidP="00971FED">
      <w:pPr>
        <w:widowControl w:val="0"/>
        <w:autoSpaceDE w:val="0"/>
        <w:autoSpaceDN w:val="0"/>
        <w:adjustRightInd w:val="0"/>
        <w:ind w:firstLine="578"/>
        <w:jc w:val="both"/>
        <w:rPr>
          <w:rFonts w:cs="Times"/>
          <w:szCs w:val="32"/>
          <w:lang w:val="en-US"/>
        </w:rPr>
      </w:pPr>
      <w:r w:rsidRPr="00BC34EF">
        <w:rPr>
          <w:szCs w:val="32"/>
          <w:lang w:val="en-US"/>
        </w:rPr>
        <w:t xml:space="preserve">This conference proposes to interrogate </w:t>
      </w:r>
      <w:r>
        <w:rPr>
          <w:szCs w:val="32"/>
          <w:lang w:val="en-US"/>
        </w:rPr>
        <w:t>the idea of ‘exception’</w:t>
      </w:r>
      <w:r w:rsidRPr="00BC34EF">
        <w:rPr>
          <w:szCs w:val="32"/>
          <w:lang w:val="en-US"/>
        </w:rPr>
        <w:t xml:space="preserve"> through which the North East has been viewed and governed, </w:t>
      </w:r>
      <w:r>
        <w:rPr>
          <w:szCs w:val="32"/>
          <w:lang w:val="en-US"/>
        </w:rPr>
        <w:t>and</w:t>
      </w:r>
      <w:r w:rsidRPr="00BC34EF">
        <w:rPr>
          <w:szCs w:val="32"/>
          <w:lang w:val="en-US"/>
        </w:rPr>
        <w:t xml:space="preserve"> how </w:t>
      </w:r>
      <w:r>
        <w:rPr>
          <w:szCs w:val="32"/>
          <w:lang w:val="en-US"/>
        </w:rPr>
        <w:t xml:space="preserve">one </w:t>
      </w:r>
      <w:r w:rsidRPr="00BC34EF">
        <w:rPr>
          <w:szCs w:val="32"/>
          <w:lang w:val="en-US"/>
        </w:rPr>
        <w:t xml:space="preserve">can move beyond </w:t>
      </w:r>
      <w:r>
        <w:rPr>
          <w:szCs w:val="32"/>
          <w:lang w:val="en-US"/>
        </w:rPr>
        <w:t>these predicaments.</w:t>
      </w:r>
      <w:r w:rsidRPr="00BC34EF">
        <w:rPr>
          <w:szCs w:val="32"/>
          <w:lang w:val="en-US"/>
        </w:rPr>
        <w:t xml:space="preserve"> There are few questions that need to be addressed. </w:t>
      </w:r>
      <w:r w:rsidRPr="00BC34EF">
        <w:rPr>
          <w:rFonts w:cs="Georgia"/>
          <w:szCs w:val="30"/>
          <w:lang w:val="en-US"/>
        </w:rPr>
        <w:t xml:space="preserve">How </w:t>
      </w:r>
      <w:r>
        <w:rPr>
          <w:rFonts w:cs="Georgia"/>
          <w:szCs w:val="30"/>
          <w:lang w:val="en-US"/>
        </w:rPr>
        <w:t>has ‘exception’</w:t>
      </w:r>
      <w:r w:rsidRPr="00BC34EF">
        <w:rPr>
          <w:rFonts w:cs="Georgia"/>
          <w:szCs w:val="30"/>
          <w:lang w:val="en-US"/>
        </w:rPr>
        <w:t xml:space="preserve"> as an ideation</w:t>
      </w:r>
      <w:r>
        <w:rPr>
          <w:rFonts w:cs="Georgia"/>
          <w:szCs w:val="30"/>
          <w:lang w:val="en-US"/>
        </w:rPr>
        <w:t xml:space="preserve">al or institutional reality </w:t>
      </w:r>
      <w:r w:rsidRPr="00BC34EF">
        <w:rPr>
          <w:rFonts w:cs="Georgia"/>
          <w:szCs w:val="30"/>
          <w:lang w:val="en-US"/>
        </w:rPr>
        <w:t>emerged as processes connected to the state making pra</w:t>
      </w:r>
      <w:r>
        <w:rPr>
          <w:rFonts w:cs="Georgia"/>
          <w:szCs w:val="30"/>
          <w:lang w:val="en-US"/>
        </w:rPr>
        <w:t>ctices</w:t>
      </w:r>
      <w:r w:rsidRPr="00BC34EF">
        <w:rPr>
          <w:rFonts w:cs="Georgia"/>
          <w:szCs w:val="30"/>
          <w:lang w:val="en-US"/>
        </w:rPr>
        <w:t>?</w:t>
      </w:r>
      <w:r>
        <w:rPr>
          <w:rFonts w:cs="Georgia"/>
          <w:szCs w:val="30"/>
          <w:lang w:val="en-US"/>
        </w:rPr>
        <w:t xml:space="preserve"> </w:t>
      </w:r>
      <w:r w:rsidRPr="00BC34EF">
        <w:rPr>
          <w:szCs w:val="32"/>
          <w:lang w:val="en-US"/>
        </w:rPr>
        <w:t>What exactly is exceptional about the North East and how has it been exceptional from wider norms?</w:t>
      </w:r>
      <w:r>
        <w:rPr>
          <w:szCs w:val="32"/>
          <w:lang w:val="en-US"/>
        </w:rPr>
        <w:t xml:space="preserve"> How has this sense of ‘exception’</w:t>
      </w:r>
      <w:r w:rsidRPr="00BC34EF">
        <w:rPr>
          <w:szCs w:val="32"/>
          <w:lang w:val="en-US"/>
        </w:rPr>
        <w:t xml:space="preserve"> validated over time with a set of opinions</w:t>
      </w:r>
      <w:r>
        <w:rPr>
          <w:szCs w:val="32"/>
          <w:lang w:val="en-US"/>
        </w:rPr>
        <w:t>,</w:t>
      </w:r>
      <w:r w:rsidRPr="00BC34EF">
        <w:rPr>
          <w:szCs w:val="32"/>
          <w:lang w:val="en-US"/>
        </w:rPr>
        <w:t xml:space="preserve"> rules and </w:t>
      </w:r>
      <w:r>
        <w:rPr>
          <w:szCs w:val="32"/>
          <w:lang w:val="en-US"/>
        </w:rPr>
        <w:t>policies</w:t>
      </w:r>
      <w:r w:rsidRPr="00BC34EF">
        <w:rPr>
          <w:szCs w:val="32"/>
          <w:lang w:val="en-US"/>
        </w:rPr>
        <w:t>?</w:t>
      </w:r>
      <w:r>
        <w:rPr>
          <w:szCs w:val="32"/>
          <w:lang w:val="en-US"/>
        </w:rPr>
        <w:t xml:space="preserve"> </w:t>
      </w:r>
      <w:r w:rsidRPr="00BC34EF">
        <w:rPr>
          <w:szCs w:val="32"/>
          <w:lang w:val="en-US"/>
        </w:rPr>
        <w:t xml:space="preserve">Does looking beyond ‘exception’ necessarily </w:t>
      </w:r>
      <w:r>
        <w:rPr>
          <w:szCs w:val="32"/>
          <w:lang w:val="en-US"/>
        </w:rPr>
        <w:t>erode the idea of the</w:t>
      </w:r>
      <w:r w:rsidRPr="00BC34EF">
        <w:rPr>
          <w:szCs w:val="32"/>
          <w:lang w:val="en-US"/>
        </w:rPr>
        <w:t xml:space="preserve"> North East </w:t>
      </w:r>
      <w:r>
        <w:rPr>
          <w:szCs w:val="32"/>
          <w:lang w:val="en-US"/>
        </w:rPr>
        <w:t>and its identity</w:t>
      </w:r>
      <w:r w:rsidRPr="00BC34EF">
        <w:rPr>
          <w:szCs w:val="32"/>
          <w:lang w:val="en-US"/>
        </w:rPr>
        <w:t>?</w:t>
      </w:r>
    </w:p>
    <w:p w:rsidR="00FD3637" w:rsidRDefault="00FD3637" w:rsidP="00971FED">
      <w:pPr>
        <w:widowControl w:val="0"/>
        <w:autoSpaceDE w:val="0"/>
        <w:autoSpaceDN w:val="0"/>
        <w:adjustRightInd w:val="0"/>
        <w:ind w:firstLine="578"/>
        <w:jc w:val="both"/>
        <w:rPr>
          <w:rFonts w:cs="Times"/>
          <w:szCs w:val="32"/>
          <w:lang w:val="en-US"/>
        </w:rPr>
      </w:pPr>
    </w:p>
    <w:p w:rsidR="00FD3637" w:rsidRPr="00BC34EF" w:rsidRDefault="00FD3637" w:rsidP="00971FED">
      <w:pPr>
        <w:widowControl w:val="0"/>
        <w:autoSpaceDE w:val="0"/>
        <w:autoSpaceDN w:val="0"/>
        <w:adjustRightInd w:val="0"/>
        <w:ind w:firstLine="578"/>
        <w:jc w:val="both"/>
        <w:rPr>
          <w:rFonts w:cs="Times"/>
          <w:szCs w:val="32"/>
          <w:lang w:val="en-US"/>
        </w:rPr>
      </w:pPr>
      <w:r w:rsidRPr="00BC34EF">
        <w:rPr>
          <w:szCs w:val="32"/>
          <w:lang w:val="en-US"/>
        </w:rPr>
        <w:t>The proposed conference therefore attempts to address the idea of the North East and its ‘exception’ through various field</w:t>
      </w:r>
      <w:r>
        <w:rPr>
          <w:szCs w:val="32"/>
          <w:lang w:val="en-US"/>
        </w:rPr>
        <w:t xml:space="preserve">s such as cartography, political </w:t>
      </w:r>
      <w:r w:rsidRPr="00BC34EF">
        <w:rPr>
          <w:szCs w:val="32"/>
          <w:lang w:val="en-US"/>
        </w:rPr>
        <w:t>economy, governance</w:t>
      </w:r>
      <w:r>
        <w:rPr>
          <w:szCs w:val="32"/>
          <w:lang w:val="en-US"/>
        </w:rPr>
        <w:t xml:space="preserve"> and policy framing</w:t>
      </w:r>
      <w:r w:rsidRPr="00BC34EF">
        <w:rPr>
          <w:szCs w:val="32"/>
          <w:lang w:val="en-US"/>
        </w:rPr>
        <w:t xml:space="preserve">, culture and everyday life. </w:t>
      </w:r>
      <w:r>
        <w:rPr>
          <w:szCs w:val="32"/>
          <w:lang w:val="en-US"/>
        </w:rPr>
        <w:t>There is need to revisit the</w:t>
      </w:r>
      <w:r w:rsidRPr="00BC34EF">
        <w:rPr>
          <w:szCs w:val="32"/>
          <w:lang w:val="en-US"/>
        </w:rPr>
        <w:t xml:space="preserve"> methodology, historiography and philosophy </w:t>
      </w:r>
      <w:r>
        <w:rPr>
          <w:szCs w:val="32"/>
          <w:lang w:val="en-US"/>
        </w:rPr>
        <w:t>that inform the idea</w:t>
      </w:r>
      <w:r w:rsidRPr="00BC34EF">
        <w:rPr>
          <w:szCs w:val="32"/>
          <w:lang w:val="en-US"/>
        </w:rPr>
        <w:t xml:space="preserve"> of ‘exception’ </w:t>
      </w:r>
      <w:r>
        <w:rPr>
          <w:szCs w:val="32"/>
          <w:lang w:val="en-US"/>
        </w:rPr>
        <w:t>of the</w:t>
      </w:r>
      <w:r w:rsidRPr="00BC34EF">
        <w:rPr>
          <w:szCs w:val="32"/>
          <w:lang w:val="en-US"/>
        </w:rPr>
        <w:t xml:space="preserve"> North East </w:t>
      </w:r>
      <w:r>
        <w:rPr>
          <w:szCs w:val="32"/>
          <w:lang w:val="en-US"/>
        </w:rPr>
        <w:t>as a region and people</w:t>
      </w:r>
      <w:r w:rsidRPr="00BC34EF">
        <w:rPr>
          <w:szCs w:val="32"/>
          <w:lang w:val="en-US"/>
        </w:rPr>
        <w:t>.</w:t>
      </w:r>
    </w:p>
    <w:p w:rsidR="00FD3637" w:rsidRPr="00BC34EF" w:rsidRDefault="00FD3637" w:rsidP="00971FED">
      <w:pPr>
        <w:widowControl w:val="0"/>
        <w:autoSpaceDE w:val="0"/>
        <w:autoSpaceDN w:val="0"/>
        <w:adjustRightInd w:val="0"/>
        <w:jc w:val="both"/>
        <w:rPr>
          <w:rFonts w:cs="Times"/>
          <w:szCs w:val="32"/>
          <w:lang w:val="en-US"/>
        </w:rPr>
      </w:pPr>
      <w:r w:rsidRPr="00BC34EF">
        <w:rPr>
          <w:rFonts w:cs="Times"/>
          <w:szCs w:val="32"/>
          <w:lang w:val="en-US"/>
        </w:rPr>
        <w:t> </w:t>
      </w:r>
    </w:p>
    <w:p w:rsidR="00FD3637" w:rsidRPr="00BC34EF" w:rsidRDefault="00FD3637" w:rsidP="00971FED">
      <w:pPr>
        <w:widowControl w:val="0"/>
        <w:autoSpaceDE w:val="0"/>
        <w:autoSpaceDN w:val="0"/>
        <w:adjustRightInd w:val="0"/>
        <w:jc w:val="both"/>
        <w:rPr>
          <w:rFonts w:cs="Times"/>
          <w:szCs w:val="32"/>
          <w:lang w:val="en-US"/>
        </w:rPr>
      </w:pPr>
      <w:r w:rsidRPr="00BC34EF">
        <w:rPr>
          <w:rFonts w:cs="Times"/>
          <w:szCs w:val="32"/>
          <w:lang w:val="en-US"/>
        </w:rPr>
        <w:t> </w:t>
      </w:r>
    </w:p>
    <w:p w:rsidR="00FD3637" w:rsidRPr="00193B9F" w:rsidRDefault="00FD3637" w:rsidP="00971FED">
      <w:pPr>
        <w:widowControl w:val="0"/>
        <w:autoSpaceDE w:val="0"/>
        <w:autoSpaceDN w:val="0"/>
        <w:adjustRightInd w:val="0"/>
        <w:jc w:val="both"/>
        <w:rPr>
          <w:rFonts w:cs="Times"/>
          <w:szCs w:val="32"/>
          <w:lang w:val="en-US"/>
        </w:rPr>
      </w:pPr>
      <w:r>
        <w:rPr>
          <w:bCs/>
          <w:szCs w:val="32"/>
          <w:lang w:val="en-US"/>
        </w:rPr>
        <w:t>Following are the themes that may be taken up by the scholars for deliberation:</w:t>
      </w:r>
    </w:p>
    <w:p w:rsidR="00FD3637" w:rsidRPr="00BC34EF" w:rsidRDefault="00FD3637" w:rsidP="00971FED">
      <w:pPr>
        <w:widowControl w:val="0"/>
        <w:autoSpaceDE w:val="0"/>
        <w:autoSpaceDN w:val="0"/>
        <w:adjustRightInd w:val="0"/>
        <w:jc w:val="both"/>
        <w:rPr>
          <w:rFonts w:cs="Times"/>
          <w:szCs w:val="32"/>
          <w:lang w:val="en-US"/>
        </w:rPr>
      </w:pPr>
      <w:r w:rsidRPr="00BC34EF">
        <w:rPr>
          <w:rFonts w:cs="Times"/>
          <w:szCs w:val="32"/>
          <w:lang w:val="en-US"/>
        </w:rPr>
        <w:t> </w:t>
      </w:r>
    </w:p>
    <w:p w:rsidR="00FD3637" w:rsidRPr="00BC34EF" w:rsidRDefault="00FD3637" w:rsidP="00971FED">
      <w:pPr>
        <w:widowControl w:val="0"/>
        <w:numPr>
          <w:ilvl w:val="0"/>
          <w:numId w:val="5"/>
        </w:numPr>
        <w:tabs>
          <w:tab w:val="left" w:pos="220"/>
          <w:tab w:val="left" w:pos="720"/>
        </w:tabs>
        <w:autoSpaceDE w:val="0"/>
        <w:autoSpaceDN w:val="0"/>
        <w:adjustRightInd w:val="0"/>
        <w:spacing w:line="360" w:lineRule="auto"/>
        <w:ind w:hanging="720"/>
        <w:jc w:val="both"/>
        <w:rPr>
          <w:rFonts w:cs="Times"/>
          <w:szCs w:val="32"/>
          <w:lang w:val="en-US"/>
        </w:rPr>
      </w:pPr>
      <w:r>
        <w:rPr>
          <w:szCs w:val="32"/>
          <w:lang w:val="en-US"/>
        </w:rPr>
        <w:t>Interrogating the idea of</w:t>
      </w:r>
      <w:r w:rsidRPr="00BC34EF">
        <w:rPr>
          <w:szCs w:val="32"/>
          <w:lang w:val="en-US"/>
        </w:rPr>
        <w:t xml:space="preserve"> North East as an ‘exception’</w:t>
      </w:r>
    </w:p>
    <w:p w:rsidR="00FD3637" w:rsidRPr="00BC34EF" w:rsidRDefault="00FD3637" w:rsidP="00971FED">
      <w:pPr>
        <w:widowControl w:val="0"/>
        <w:numPr>
          <w:ilvl w:val="0"/>
          <w:numId w:val="5"/>
        </w:numPr>
        <w:tabs>
          <w:tab w:val="left" w:pos="220"/>
          <w:tab w:val="left" w:pos="720"/>
        </w:tabs>
        <w:autoSpaceDE w:val="0"/>
        <w:autoSpaceDN w:val="0"/>
        <w:adjustRightInd w:val="0"/>
        <w:spacing w:line="360" w:lineRule="auto"/>
        <w:ind w:hanging="720"/>
        <w:jc w:val="both"/>
        <w:rPr>
          <w:rFonts w:cs="Times"/>
          <w:szCs w:val="32"/>
          <w:lang w:val="en-US"/>
        </w:rPr>
      </w:pPr>
      <w:r>
        <w:rPr>
          <w:szCs w:val="32"/>
          <w:lang w:val="en-US"/>
        </w:rPr>
        <w:t>History writing exercise and challenges to knowledge</w:t>
      </w:r>
    </w:p>
    <w:p w:rsidR="00FD3637" w:rsidRPr="00BC34EF" w:rsidRDefault="00FD3637" w:rsidP="00971FED">
      <w:pPr>
        <w:widowControl w:val="0"/>
        <w:numPr>
          <w:ilvl w:val="0"/>
          <w:numId w:val="5"/>
        </w:numPr>
        <w:tabs>
          <w:tab w:val="left" w:pos="220"/>
          <w:tab w:val="left" w:pos="720"/>
        </w:tabs>
        <w:autoSpaceDE w:val="0"/>
        <w:autoSpaceDN w:val="0"/>
        <w:adjustRightInd w:val="0"/>
        <w:spacing w:line="360" w:lineRule="auto"/>
        <w:ind w:hanging="720"/>
        <w:jc w:val="both"/>
        <w:rPr>
          <w:rFonts w:cs="Times"/>
          <w:szCs w:val="32"/>
          <w:lang w:val="en-US"/>
        </w:rPr>
      </w:pPr>
      <w:r>
        <w:rPr>
          <w:szCs w:val="32"/>
          <w:lang w:val="en-US"/>
        </w:rPr>
        <w:t>Colonial projects, political geography, and</w:t>
      </w:r>
      <w:r w:rsidRPr="00BC34EF">
        <w:rPr>
          <w:szCs w:val="32"/>
          <w:lang w:val="en-US"/>
        </w:rPr>
        <w:t xml:space="preserve"> cartographic exercises</w:t>
      </w:r>
    </w:p>
    <w:p w:rsidR="00FD3637" w:rsidRPr="00BC34EF" w:rsidRDefault="00FD3637" w:rsidP="00971FED">
      <w:pPr>
        <w:widowControl w:val="0"/>
        <w:numPr>
          <w:ilvl w:val="0"/>
          <w:numId w:val="5"/>
        </w:numPr>
        <w:tabs>
          <w:tab w:val="left" w:pos="220"/>
          <w:tab w:val="left" w:pos="720"/>
        </w:tabs>
        <w:autoSpaceDE w:val="0"/>
        <w:autoSpaceDN w:val="0"/>
        <w:adjustRightInd w:val="0"/>
        <w:spacing w:line="360" w:lineRule="auto"/>
        <w:ind w:hanging="720"/>
        <w:jc w:val="both"/>
        <w:rPr>
          <w:rFonts w:cs="Times"/>
          <w:szCs w:val="32"/>
          <w:lang w:val="en-US"/>
        </w:rPr>
      </w:pPr>
      <w:r w:rsidRPr="00BC34EF">
        <w:rPr>
          <w:szCs w:val="32"/>
          <w:lang w:val="en-US"/>
        </w:rPr>
        <w:t>Governance strategies</w:t>
      </w:r>
      <w:r>
        <w:rPr>
          <w:szCs w:val="32"/>
          <w:lang w:val="en-US"/>
        </w:rPr>
        <w:t xml:space="preserve"> and policy discourses</w:t>
      </w:r>
    </w:p>
    <w:p w:rsidR="00FD3637" w:rsidRPr="00CB7DE1" w:rsidRDefault="00FD3637" w:rsidP="00971FED">
      <w:pPr>
        <w:widowControl w:val="0"/>
        <w:numPr>
          <w:ilvl w:val="0"/>
          <w:numId w:val="5"/>
        </w:numPr>
        <w:tabs>
          <w:tab w:val="left" w:pos="220"/>
          <w:tab w:val="left" w:pos="720"/>
        </w:tabs>
        <w:autoSpaceDE w:val="0"/>
        <w:autoSpaceDN w:val="0"/>
        <w:adjustRightInd w:val="0"/>
        <w:spacing w:line="360" w:lineRule="auto"/>
        <w:ind w:hanging="720"/>
        <w:jc w:val="both"/>
        <w:rPr>
          <w:rFonts w:cs="Times"/>
          <w:szCs w:val="32"/>
          <w:lang w:val="en-US"/>
        </w:rPr>
      </w:pPr>
      <w:r>
        <w:rPr>
          <w:szCs w:val="32"/>
          <w:lang w:val="en-US"/>
        </w:rPr>
        <w:t>Identity politics, exceptionality and emancipation politics</w:t>
      </w:r>
    </w:p>
    <w:p w:rsidR="00FD3637" w:rsidRPr="00B4615E" w:rsidRDefault="00FD3637" w:rsidP="008C682B">
      <w:pPr>
        <w:widowControl w:val="0"/>
        <w:numPr>
          <w:ilvl w:val="0"/>
          <w:numId w:val="5"/>
        </w:numPr>
        <w:tabs>
          <w:tab w:val="left" w:pos="220"/>
          <w:tab w:val="left" w:pos="720"/>
        </w:tabs>
        <w:autoSpaceDE w:val="0"/>
        <w:autoSpaceDN w:val="0"/>
        <w:adjustRightInd w:val="0"/>
        <w:spacing w:line="360" w:lineRule="auto"/>
        <w:ind w:hanging="720"/>
        <w:jc w:val="both"/>
      </w:pPr>
      <w:r w:rsidRPr="00F80693">
        <w:rPr>
          <w:szCs w:val="32"/>
          <w:lang w:val="en-US"/>
        </w:rPr>
        <w:t>Thinking beyond the exception: Exploring different discourses</w:t>
      </w:r>
      <w:bookmarkStart w:id="0" w:name="_GoBack"/>
      <w:bookmarkEnd w:id="0"/>
    </w:p>
    <w:p w:rsidR="00FD3637" w:rsidRPr="00BC34EF" w:rsidRDefault="00FD3637" w:rsidP="008C682B">
      <w:pPr>
        <w:widowControl w:val="0"/>
        <w:numPr>
          <w:ilvl w:val="0"/>
          <w:numId w:val="5"/>
        </w:numPr>
        <w:tabs>
          <w:tab w:val="left" w:pos="220"/>
          <w:tab w:val="left" w:pos="720"/>
        </w:tabs>
        <w:autoSpaceDE w:val="0"/>
        <w:autoSpaceDN w:val="0"/>
        <w:adjustRightInd w:val="0"/>
        <w:spacing w:line="360" w:lineRule="auto"/>
        <w:ind w:hanging="720"/>
        <w:jc w:val="both"/>
      </w:pPr>
      <w:r>
        <w:rPr>
          <w:szCs w:val="32"/>
          <w:lang w:val="en-US"/>
        </w:rPr>
        <w:t>Methodological Issues</w:t>
      </w:r>
    </w:p>
    <w:sectPr w:rsidR="00FD3637" w:rsidRPr="00BC34EF" w:rsidSect="00971FED">
      <w:footerReference w:type="even" r:id="rId7"/>
      <w:footerReference w:type="default" r:id="rId8"/>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37" w:rsidRDefault="00FD3637">
      <w:r>
        <w:separator/>
      </w:r>
    </w:p>
  </w:endnote>
  <w:endnote w:type="continuationSeparator" w:id="0">
    <w:p w:rsidR="00FD3637" w:rsidRDefault="00FD3637">
      <w:r>
        <w:continuationSeparator/>
      </w:r>
    </w:p>
  </w:endnote>
  <w:endnote w:type="continuationNotice" w:id="1">
    <w:p w:rsidR="00FD3637" w:rsidRDefault="00FD36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37" w:rsidRDefault="00FD36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3637" w:rsidRDefault="00FD3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37" w:rsidRDefault="00FD36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3637" w:rsidRDefault="00FD3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37" w:rsidRDefault="00FD3637">
      <w:r>
        <w:separator/>
      </w:r>
    </w:p>
  </w:footnote>
  <w:footnote w:type="continuationSeparator" w:id="0">
    <w:p w:rsidR="00FD3637" w:rsidRDefault="00FD3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F1822F4"/>
    <w:multiLevelType w:val="hybridMultilevel"/>
    <w:tmpl w:val="27B840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E243195"/>
    <w:multiLevelType w:val="hybridMultilevel"/>
    <w:tmpl w:val="751059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76"/>
  <w:noPunctuationKerning/>
  <w:characterSpacingControl w:val="doNotCompress"/>
  <w:savePreviewPicture/>
  <w:footnotePr>
    <w:footnote w:id="-1"/>
    <w:footnote w:id="0"/>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700"/>
    <w:rsid w:val="000F7A20"/>
    <w:rsid w:val="00193B9F"/>
    <w:rsid w:val="00276B00"/>
    <w:rsid w:val="002B1B09"/>
    <w:rsid w:val="002D2302"/>
    <w:rsid w:val="003F3FCC"/>
    <w:rsid w:val="00407545"/>
    <w:rsid w:val="00510700"/>
    <w:rsid w:val="00676797"/>
    <w:rsid w:val="006E700B"/>
    <w:rsid w:val="00725793"/>
    <w:rsid w:val="00746D5B"/>
    <w:rsid w:val="00810AD2"/>
    <w:rsid w:val="008C682B"/>
    <w:rsid w:val="00971FED"/>
    <w:rsid w:val="009B1490"/>
    <w:rsid w:val="00B4615E"/>
    <w:rsid w:val="00BC34EF"/>
    <w:rsid w:val="00BE1AD7"/>
    <w:rsid w:val="00C71227"/>
    <w:rsid w:val="00C71DC5"/>
    <w:rsid w:val="00CB7DE1"/>
    <w:rsid w:val="00D4116F"/>
    <w:rsid w:val="00DF61CC"/>
    <w:rsid w:val="00EE2154"/>
    <w:rsid w:val="00EF7C20"/>
    <w:rsid w:val="00F80693"/>
    <w:rsid w:val="00FD36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C5"/>
    <w:rPr>
      <w:sz w:val="24"/>
      <w:szCs w:val="24"/>
      <w:lang w:val="en-GB"/>
    </w:rPr>
  </w:style>
  <w:style w:type="paragraph" w:styleId="Heading1">
    <w:name w:val="heading 1"/>
    <w:basedOn w:val="Normal"/>
    <w:next w:val="Normal"/>
    <w:link w:val="Heading1Char"/>
    <w:uiPriority w:val="99"/>
    <w:qFormat/>
    <w:rsid w:val="00C71DC5"/>
    <w:pPr>
      <w:keepNext/>
      <w:outlineLvl w:val="0"/>
    </w:pPr>
    <w:rPr>
      <w:sz w:val="32"/>
    </w:rPr>
  </w:style>
  <w:style w:type="paragraph" w:styleId="Heading2">
    <w:name w:val="heading 2"/>
    <w:basedOn w:val="Normal"/>
    <w:next w:val="Normal"/>
    <w:link w:val="Heading2Char"/>
    <w:uiPriority w:val="99"/>
    <w:qFormat/>
    <w:rsid w:val="00C71DC5"/>
    <w:pPr>
      <w:keepNext/>
      <w:outlineLvl w:val="1"/>
    </w:pPr>
    <w:rPr>
      <w:i/>
      <w:iCs/>
    </w:rPr>
  </w:style>
  <w:style w:type="paragraph" w:styleId="Heading3">
    <w:name w:val="heading 3"/>
    <w:basedOn w:val="Normal"/>
    <w:next w:val="Normal"/>
    <w:link w:val="Heading3Char"/>
    <w:uiPriority w:val="99"/>
    <w:qFormat/>
    <w:rsid w:val="00C71D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71DC5"/>
    <w:pPr>
      <w:keepNext/>
      <w:spacing w:before="120"/>
      <w:outlineLvl w:val="3"/>
    </w:pPr>
    <w:rPr>
      <w:smallCaps/>
      <w:sz w:val="28"/>
    </w:rPr>
  </w:style>
  <w:style w:type="paragraph" w:styleId="Heading5">
    <w:name w:val="heading 5"/>
    <w:basedOn w:val="Normal"/>
    <w:next w:val="Normal"/>
    <w:link w:val="Heading5Char"/>
    <w:uiPriority w:val="99"/>
    <w:qFormat/>
    <w:rsid w:val="00C71DC5"/>
    <w:pPr>
      <w:keepNext/>
      <w:outlineLvl w:val="4"/>
    </w:pPr>
    <w:rPr>
      <w:i/>
      <w:iCs/>
      <w:sz w:val="22"/>
    </w:rPr>
  </w:style>
  <w:style w:type="paragraph" w:styleId="Heading6">
    <w:name w:val="heading 6"/>
    <w:basedOn w:val="Normal"/>
    <w:next w:val="Normal"/>
    <w:link w:val="Heading6Char"/>
    <w:uiPriority w:val="99"/>
    <w:qFormat/>
    <w:rsid w:val="00C71DC5"/>
    <w:pPr>
      <w:keepNext/>
      <w:spacing w:before="360"/>
      <w:jc w:val="center"/>
      <w:outlineLvl w:val="5"/>
    </w:pPr>
    <w:rPr>
      <w:smallCap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4CD"/>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7514CD"/>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7514CD"/>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7514CD"/>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7514CD"/>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7514CD"/>
    <w:rPr>
      <w:rFonts w:asciiTheme="minorHAnsi" w:eastAsiaTheme="minorEastAsia" w:hAnsiTheme="minorHAnsi" w:cstheme="minorBidi"/>
      <w:b/>
      <w:bCs/>
      <w:lang w:val="en-GB"/>
    </w:rPr>
  </w:style>
  <w:style w:type="paragraph" w:styleId="BodyTextIndent">
    <w:name w:val="Body Text Indent"/>
    <w:basedOn w:val="Normal"/>
    <w:link w:val="BodyTextIndentChar"/>
    <w:uiPriority w:val="99"/>
    <w:rsid w:val="00C71DC5"/>
    <w:pPr>
      <w:spacing w:before="120"/>
      <w:ind w:firstLine="720"/>
    </w:pPr>
  </w:style>
  <w:style w:type="character" w:customStyle="1" w:styleId="BodyTextIndentChar">
    <w:name w:val="Body Text Indent Char"/>
    <w:basedOn w:val="DefaultParagraphFont"/>
    <w:link w:val="BodyTextIndent"/>
    <w:uiPriority w:val="99"/>
    <w:semiHidden/>
    <w:rsid w:val="007514CD"/>
    <w:rPr>
      <w:sz w:val="24"/>
      <w:szCs w:val="24"/>
      <w:lang w:val="en-GB"/>
    </w:rPr>
  </w:style>
  <w:style w:type="paragraph" w:styleId="BodyText">
    <w:name w:val="Body Text"/>
    <w:basedOn w:val="Normal"/>
    <w:link w:val="BodyTextChar"/>
    <w:uiPriority w:val="99"/>
    <w:rsid w:val="00C71DC5"/>
    <w:pPr>
      <w:spacing w:before="120"/>
    </w:pPr>
    <w:rPr>
      <w:b/>
      <w:bCs/>
    </w:rPr>
  </w:style>
  <w:style w:type="character" w:customStyle="1" w:styleId="BodyTextChar">
    <w:name w:val="Body Text Char"/>
    <w:basedOn w:val="DefaultParagraphFont"/>
    <w:link w:val="BodyText"/>
    <w:uiPriority w:val="99"/>
    <w:semiHidden/>
    <w:rsid w:val="007514CD"/>
    <w:rPr>
      <w:sz w:val="24"/>
      <w:szCs w:val="24"/>
      <w:lang w:val="en-GB"/>
    </w:rPr>
  </w:style>
  <w:style w:type="paragraph" w:styleId="FootnoteText">
    <w:name w:val="footnote text"/>
    <w:basedOn w:val="Normal"/>
    <w:link w:val="FootnoteTextChar"/>
    <w:uiPriority w:val="99"/>
    <w:semiHidden/>
    <w:rsid w:val="00C71DC5"/>
    <w:rPr>
      <w:sz w:val="20"/>
      <w:szCs w:val="20"/>
    </w:rPr>
  </w:style>
  <w:style w:type="character" w:customStyle="1" w:styleId="FootnoteTextChar">
    <w:name w:val="Footnote Text Char"/>
    <w:basedOn w:val="DefaultParagraphFont"/>
    <w:link w:val="FootnoteText"/>
    <w:uiPriority w:val="99"/>
    <w:semiHidden/>
    <w:rsid w:val="007514CD"/>
    <w:rPr>
      <w:sz w:val="20"/>
      <w:szCs w:val="20"/>
      <w:lang w:val="en-GB"/>
    </w:rPr>
  </w:style>
  <w:style w:type="character" w:styleId="FootnoteReference">
    <w:name w:val="footnote reference"/>
    <w:basedOn w:val="DefaultParagraphFont"/>
    <w:uiPriority w:val="99"/>
    <w:semiHidden/>
    <w:rsid w:val="00C71DC5"/>
    <w:rPr>
      <w:rFonts w:cs="Times New Roman"/>
      <w:vertAlign w:val="superscript"/>
    </w:rPr>
  </w:style>
  <w:style w:type="paragraph" w:styleId="EndnoteText">
    <w:name w:val="endnote text"/>
    <w:basedOn w:val="Normal"/>
    <w:link w:val="EndnoteTextChar"/>
    <w:uiPriority w:val="99"/>
    <w:semiHidden/>
    <w:rsid w:val="00C71DC5"/>
    <w:rPr>
      <w:sz w:val="20"/>
      <w:szCs w:val="20"/>
    </w:rPr>
  </w:style>
  <w:style w:type="character" w:customStyle="1" w:styleId="EndnoteTextChar">
    <w:name w:val="Endnote Text Char"/>
    <w:basedOn w:val="DefaultParagraphFont"/>
    <w:link w:val="EndnoteText"/>
    <w:uiPriority w:val="99"/>
    <w:semiHidden/>
    <w:rsid w:val="007514CD"/>
    <w:rPr>
      <w:sz w:val="20"/>
      <w:szCs w:val="20"/>
      <w:lang w:val="en-GB"/>
    </w:rPr>
  </w:style>
  <w:style w:type="character" w:styleId="EndnoteReference">
    <w:name w:val="endnote reference"/>
    <w:basedOn w:val="DefaultParagraphFont"/>
    <w:uiPriority w:val="99"/>
    <w:semiHidden/>
    <w:rsid w:val="00C71DC5"/>
    <w:rPr>
      <w:rFonts w:cs="Times New Roman"/>
      <w:vertAlign w:val="superscript"/>
    </w:rPr>
  </w:style>
  <w:style w:type="paragraph" w:styleId="Title">
    <w:name w:val="Title"/>
    <w:basedOn w:val="Normal"/>
    <w:link w:val="TitleChar"/>
    <w:uiPriority w:val="99"/>
    <w:qFormat/>
    <w:rsid w:val="00C71DC5"/>
    <w:pPr>
      <w:jc w:val="center"/>
    </w:pPr>
    <w:rPr>
      <w:sz w:val="32"/>
    </w:rPr>
  </w:style>
  <w:style w:type="character" w:customStyle="1" w:styleId="TitleChar">
    <w:name w:val="Title Char"/>
    <w:basedOn w:val="DefaultParagraphFont"/>
    <w:link w:val="Title"/>
    <w:uiPriority w:val="10"/>
    <w:rsid w:val="007514CD"/>
    <w:rPr>
      <w:rFonts w:asciiTheme="majorHAnsi" w:eastAsiaTheme="majorEastAsia" w:hAnsiTheme="majorHAnsi" w:cstheme="majorBidi"/>
      <w:b/>
      <w:bCs/>
      <w:kern w:val="28"/>
      <w:sz w:val="32"/>
      <w:szCs w:val="32"/>
      <w:lang w:val="en-GB"/>
    </w:rPr>
  </w:style>
  <w:style w:type="paragraph" w:styleId="Footer">
    <w:name w:val="footer"/>
    <w:basedOn w:val="Normal"/>
    <w:link w:val="FooterChar"/>
    <w:uiPriority w:val="99"/>
    <w:rsid w:val="00C71DC5"/>
    <w:pPr>
      <w:tabs>
        <w:tab w:val="center" w:pos="4320"/>
        <w:tab w:val="right" w:pos="8640"/>
      </w:tabs>
    </w:pPr>
  </w:style>
  <w:style w:type="character" w:customStyle="1" w:styleId="FooterChar">
    <w:name w:val="Footer Char"/>
    <w:basedOn w:val="DefaultParagraphFont"/>
    <w:link w:val="Footer"/>
    <w:uiPriority w:val="99"/>
    <w:semiHidden/>
    <w:rsid w:val="007514CD"/>
    <w:rPr>
      <w:sz w:val="24"/>
      <w:szCs w:val="24"/>
      <w:lang w:val="en-GB"/>
    </w:rPr>
  </w:style>
  <w:style w:type="character" w:styleId="PageNumber">
    <w:name w:val="page number"/>
    <w:basedOn w:val="DefaultParagraphFont"/>
    <w:uiPriority w:val="99"/>
    <w:rsid w:val="00C71DC5"/>
    <w:rPr>
      <w:rFonts w:cs="Times New Roman"/>
    </w:rPr>
  </w:style>
  <w:style w:type="character" w:styleId="Hyperlink">
    <w:name w:val="Hyperlink"/>
    <w:basedOn w:val="DefaultParagraphFont"/>
    <w:uiPriority w:val="99"/>
    <w:rsid w:val="00C71DC5"/>
    <w:rPr>
      <w:rFonts w:cs="Times New Roman"/>
      <w:color w:val="0000FF"/>
      <w:u w:val="single"/>
    </w:rPr>
  </w:style>
  <w:style w:type="character" w:styleId="FollowedHyperlink">
    <w:name w:val="FollowedHyperlink"/>
    <w:basedOn w:val="DefaultParagraphFont"/>
    <w:uiPriority w:val="99"/>
    <w:rsid w:val="00C71DC5"/>
    <w:rPr>
      <w:rFonts w:cs="Times New Roman"/>
      <w:color w:val="800080"/>
      <w:u w:val="single"/>
    </w:rPr>
  </w:style>
  <w:style w:type="paragraph" w:styleId="BodyTextIndent2">
    <w:name w:val="Body Text Indent 2"/>
    <w:basedOn w:val="Normal"/>
    <w:link w:val="BodyTextIndent2Char"/>
    <w:uiPriority w:val="99"/>
    <w:rsid w:val="00C71DC5"/>
    <w:pPr>
      <w:spacing w:before="120"/>
      <w:ind w:firstLine="576"/>
      <w:jc w:val="both"/>
    </w:pPr>
  </w:style>
  <w:style w:type="character" w:customStyle="1" w:styleId="BodyTextIndent2Char">
    <w:name w:val="Body Text Indent 2 Char"/>
    <w:basedOn w:val="DefaultParagraphFont"/>
    <w:link w:val="BodyTextIndent2"/>
    <w:uiPriority w:val="99"/>
    <w:semiHidden/>
    <w:rsid w:val="007514CD"/>
    <w:rPr>
      <w:sz w:val="24"/>
      <w:szCs w:val="24"/>
      <w:lang w:val="en-GB"/>
    </w:rPr>
  </w:style>
  <w:style w:type="paragraph" w:styleId="BodyText2">
    <w:name w:val="Body Text 2"/>
    <w:basedOn w:val="Normal"/>
    <w:link w:val="BodyText2Char"/>
    <w:uiPriority w:val="99"/>
    <w:rsid w:val="00C71DC5"/>
    <w:pPr>
      <w:jc w:val="both"/>
    </w:pPr>
  </w:style>
  <w:style w:type="character" w:customStyle="1" w:styleId="BodyText2Char">
    <w:name w:val="Body Text 2 Char"/>
    <w:basedOn w:val="DefaultParagraphFont"/>
    <w:link w:val="BodyText2"/>
    <w:uiPriority w:val="99"/>
    <w:semiHidden/>
    <w:rsid w:val="007514CD"/>
    <w:rPr>
      <w:sz w:val="24"/>
      <w:szCs w:val="24"/>
      <w:lang w:val="en-G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840</Words>
  <Characters>4792</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Action and Distributive Justice</dc:title>
  <dc:subject/>
  <dc:creator>LEISNA OINAM</dc:creator>
  <cp:keywords/>
  <dc:description/>
  <cp:lastModifiedBy>Ritu</cp:lastModifiedBy>
  <cp:revision>2</cp:revision>
  <dcterms:created xsi:type="dcterms:W3CDTF">2015-11-12T10:49:00Z</dcterms:created>
  <dcterms:modified xsi:type="dcterms:W3CDTF">2015-11-12T10:49:00Z</dcterms:modified>
</cp:coreProperties>
</file>